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698" w:rsidRDefault="00B10B79">
      <w:pPr>
        <w:jc w:val="center"/>
        <w:rPr>
          <w:b/>
          <w:bCs/>
        </w:rPr>
      </w:pPr>
      <w:bookmarkStart w:id="0" w:name="_GoBack"/>
      <w:bookmarkEnd w:id="0"/>
      <w:smartTag w:uri="urn:schemas-microsoft-com:office:smarttags" w:element="PersonName">
        <w:smartTagPr>
          <w:attr w:name="ProductID" w:val="LA MALADIE DES"/>
        </w:smartTagPr>
        <w:r>
          <w:rPr>
            <w:b/>
            <w:bCs/>
            <w:sz w:val="32"/>
          </w:rPr>
          <w:t>LA MALADIE DES</w:t>
        </w:r>
      </w:smartTag>
      <w:r>
        <w:rPr>
          <w:b/>
          <w:bCs/>
          <w:sz w:val="32"/>
        </w:rPr>
        <w:t xml:space="preserve"> PLANTE</w:t>
      </w:r>
      <w:r w:rsidR="0055541C">
        <w:rPr>
          <w:b/>
          <w:bCs/>
          <w:sz w:val="32"/>
        </w:rPr>
        <w:t>S</w:t>
      </w:r>
    </w:p>
    <w:p w:rsidR="00827698" w:rsidRDefault="00827698"/>
    <w:p w:rsidR="00827698" w:rsidRDefault="00827698"/>
    <w:p w:rsidR="00827698" w:rsidRDefault="00B10B79">
      <w:r>
        <w:t>Comme tout êtr</w:t>
      </w:r>
      <w:r w:rsidR="0055541C">
        <w:t>e vivant, la plante peut éprouver</w:t>
      </w:r>
      <w:r>
        <w:t>, au cours de son développe</w:t>
      </w:r>
      <w:r w:rsidR="00AB28A2">
        <w:softHyphen/>
      </w:r>
      <w:r>
        <w:t>ment, des anomalies ou des perturbations physiologiques qui compromettent le pro</w:t>
      </w:r>
      <w:r w:rsidR="001074D9">
        <w:softHyphen/>
      </w:r>
      <w:r>
        <w:t>ces</w:t>
      </w:r>
      <w:r w:rsidR="001074D9">
        <w:softHyphen/>
      </w:r>
      <w:r>
        <w:t>sus normal de sa croissance; elle peut aussi, sous des formes très va</w:t>
      </w:r>
      <w:r w:rsidR="00AB28A2">
        <w:softHyphen/>
      </w:r>
      <w:r>
        <w:t>riées, subir les contraintes d'un milieu extérieur, hostile au déroulement harmo</w:t>
      </w:r>
      <w:r w:rsidR="00AB28A2">
        <w:softHyphen/>
      </w:r>
      <w:r>
        <w:t>nieux de ses fonctions vitales essentielles.</w:t>
      </w:r>
    </w:p>
    <w:p w:rsidR="00827698" w:rsidRDefault="00827698"/>
    <w:p w:rsidR="00827698" w:rsidRDefault="00B10B79">
      <w:r>
        <w:t xml:space="preserve">L'atteinte d'organismes parasites ou prédateurs peut entraîner des troubles ou des dégâts (malformations d'organes, destructions de tissus, flétrissements, </w:t>
      </w:r>
      <w:r w:rsidR="00AB28A2">
        <w:t>pour</w:t>
      </w:r>
      <w:r w:rsidR="00140A64">
        <w:softHyphen/>
      </w:r>
      <w:r w:rsidR="00AB28A2">
        <w:t>ri</w:t>
      </w:r>
      <w:r w:rsidR="00140A64">
        <w:softHyphen/>
      </w:r>
      <w:r w:rsidR="00AB28A2">
        <w:t>tures</w:t>
      </w:r>
      <w:r>
        <w:t>, etc.), amenant chez la plante un état de maladie tel que sa repro</w:t>
      </w:r>
      <w:r w:rsidR="00AB28A2">
        <w:softHyphen/>
      </w:r>
      <w:r>
        <w:t>duction peut être compromise, sa productivité diminuée, sa durée de vie abré</w:t>
      </w:r>
      <w:r w:rsidR="00AB28A2">
        <w:softHyphen/>
      </w:r>
      <w:r>
        <w:t>gée; un déclin rapide ou la mort soudaine du végétal sont souvent la consé</w:t>
      </w:r>
      <w:r w:rsidR="00AB28A2">
        <w:softHyphen/>
      </w:r>
      <w:r>
        <w:t>quence des agressions sévères de l'environnement biologique, flore ou faune.</w:t>
      </w:r>
    </w:p>
    <w:p w:rsidR="00827698" w:rsidRDefault="00827698"/>
    <w:p w:rsidR="00827698" w:rsidRDefault="00827698"/>
    <w:p w:rsidR="00827698" w:rsidRDefault="00607544">
      <w:pPr>
        <w:rPr>
          <w:b/>
          <w:bCs/>
        </w:rPr>
      </w:pPr>
      <w:r>
        <w:rPr>
          <w:b/>
          <w:bCs/>
          <w:sz w:val="28"/>
        </w:rPr>
        <w:t>Connaissances récentes</w:t>
      </w:r>
    </w:p>
    <w:p w:rsidR="00827698" w:rsidRDefault="00827698"/>
    <w:p w:rsidR="00827698" w:rsidRDefault="00B10B79">
      <w:r>
        <w:t xml:space="preserve">Les Anciens avaient remarqué que certains organes </w:t>
      </w:r>
      <w:r w:rsidR="00AB28A2">
        <w:t>végétaux</w:t>
      </w:r>
      <w:r>
        <w:t xml:space="preserve"> peuvent souffrir d'altérations profondes et putrides; sous le nom de caries le naturaliste latin Pline l'Ancien (23–79) décrit à la fois les cavités qui se forment dans le tronc des ar</w:t>
      </w:r>
      <w:r w:rsidR="00AB28A2">
        <w:softHyphen/>
      </w:r>
      <w:r>
        <w:t>bres et la pourriture qui détruit les semences des céréales.</w:t>
      </w:r>
    </w:p>
    <w:p w:rsidR="00827698" w:rsidRDefault="00827698"/>
    <w:p w:rsidR="00827698" w:rsidRDefault="00B10B79">
      <w:r>
        <w:t xml:space="preserve">Nos </w:t>
      </w:r>
      <w:r w:rsidR="00AB28A2">
        <w:t>connaissances</w:t>
      </w:r>
      <w:r>
        <w:t xml:space="preserve"> dans le domaine des maladies végétales sont très récentes, ainsi que les moyens de prévention découverts pour certains cas. Vers le milieu du XVIII</w:t>
      </w:r>
      <w:r>
        <w:rPr>
          <w:vertAlign w:val="superscript"/>
        </w:rPr>
        <w:t>e</w:t>
      </w:r>
      <w:r>
        <w:t xml:space="preserve"> siècle, le naturaliste </w:t>
      </w:r>
      <w:proofErr w:type="spellStart"/>
      <w:r>
        <w:t>Tillet</w:t>
      </w:r>
      <w:proofErr w:type="spellEnd"/>
      <w:r>
        <w:t xml:space="preserve"> étudie la redoutable carie du b</w:t>
      </w:r>
      <w:r w:rsidR="00607544">
        <w:t>lé en Picardie et préconise le « </w:t>
      </w:r>
      <w:r>
        <w:t>chaulage</w:t>
      </w:r>
      <w:r w:rsidR="00607544">
        <w:t> »</w:t>
      </w:r>
      <w:r>
        <w:t xml:space="preserve"> des grains (passage à la chaux) pour lutter contre le mal. Au début du XIX</w:t>
      </w:r>
      <w:r>
        <w:rPr>
          <w:vertAlign w:val="superscript"/>
        </w:rPr>
        <w:t>e</w:t>
      </w:r>
      <w:r>
        <w:t xml:space="preserve"> siècle Bénédict Prévost conseille le «</w:t>
      </w:r>
      <w:r w:rsidR="00607544">
        <w:t> </w:t>
      </w:r>
      <w:r>
        <w:t>sulfatage</w:t>
      </w:r>
      <w:r w:rsidR="00607544">
        <w:t> </w:t>
      </w:r>
      <w:r>
        <w:t>» de la se</w:t>
      </w:r>
      <w:r w:rsidR="00AB28A2">
        <w:softHyphen/>
      </w:r>
      <w:r>
        <w:t>mence (immersion dans une solution diluée de sulfate de cuivre), pour protéger le blé de la carie; cette technique de traitement est toujours valable de nos jours.</w:t>
      </w:r>
    </w:p>
    <w:p w:rsidR="00827698" w:rsidRDefault="00827698"/>
    <w:p w:rsidR="00827698" w:rsidRDefault="00827698"/>
    <w:p w:rsidR="00827698" w:rsidRDefault="00607544">
      <w:pPr>
        <w:rPr>
          <w:b/>
          <w:bCs/>
          <w:sz w:val="28"/>
        </w:rPr>
      </w:pPr>
      <w:r>
        <w:rPr>
          <w:b/>
          <w:bCs/>
          <w:sz w:val="28"/>
        </w:rPr>
        <w:t>Phytopathologie</w:t>
      </w:r>
    </w:p>
    <w:p w:rsidR="00827698" w:rsidRDefault="00827698"/>
    <w:p w:rsidR="00827698"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w:t>
      </w:r>
      <w:r w:rsidR="00AB28A2">
        <w:softHyphen/>
      </w:r>
      <w:r>
        <w:t xml:space="preserve">lustrèrent les savants </w:t>
      </w:r>
      <w:proofErr w:type="spellStart"/>
      <w:r>
        <w:t>Caput</w:t>
      </w:r>
      <w:proofErr w:type="spellEnd"/>
      <w:r>
        <w:t xml:space="preserve">, Millardet (1838-1902), Planchon (1823-1888), Viala (1859-1936), etc. L'introduction en Europe de vignes américaines, à partir de 1850, fit </w:t>
      </w:r>
      <w:r>
        <w:lastRenderedPageBreak/>
        <w:t xml:space="preserve">apparaître des maladies nouvelles, dont souffrit beaucoup le vignoble français; ainsi le phylloxera (puceron parasite des racines de la vigne, observé dans le Gard en 1864) et plusieurs maladies cryptogamiques telles que l'oïdium (remarqué aux 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w:t>
      </w:r>
      <w:r w:rsidR="00AB28A2">
        <w:t>successivement</w:t>
      </w:r>
      <w:r>
        <w:t xml:space="preserve"> de</w:t>
      </w:r>
      <w:r w:rsidR="00AB28A2">
        <w:softHyphen/>
      </w:r>
      <w:r>
        <w:t>puis le début du XX</w:t>
      </w:r>
      <w:r>
        <w:rPr>
          <w:vertAlign w:val="superscript"/>
        </w:rPr>
        <w:t>e</w:t>
      </w:r>
      <w:r>
        <w:t xml:space="preserve"> siècle la santé des principales cultures de notre continent: maladies cryptogamiques, comme le mildiou de la pomme de terre ou les char</w:t>
      </w:r>
      <w:r w:rsidR="00AB28A2">
        <w:softHyphen/>
      </w:r>
      <w:r>
        <w:t>bons et les rouilles des céréales, maladies bactériennes (ou bactérioses), mala</w:t>
      </w:r>
      <w:r w:rsidR="00AB28A2">
        <w:softHyphen/>
      </w:r>
      <w:r>
        <w:t>dies à virus (ou viroses), etc.</w:t>
      </w:r>
    </w:p>
    <w:p w:rsidR="00827698" w:rsidRDefault="00827698"/>
    <w:p w:rsidR="00827698"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w:t>
      </w:r>
      <w:r w:rsidR="00AB28A2">
        <w:softHyphen/>
      </w:r>
      <w:r>
        <w:t>dispensables à la vie du végétal). Enfin, la phytopharmacie a mis progressive</w:t>
      </w:r>
      <w:r w:rsidR="00AB28A2">
        <w:softHyphen/>
      </w:r>
      <w:r>
        <w:t>ment, à la disposition des cultivateurs, un choix de plus en plus vaste de subs</w:t>
      </w:r>
      <w:r w:rsidR="00AB28A2">
        <w:softHyphen/>
      </w:r>
      <w:r>
        <w:t>tances chimiques destinées à la lutte contre les ennemis des cultures; la fabrication des pesticides (anticryptogamiques, insecticides, herbicides) est au</w:t>
      </w:r>
      <w:r w:rsidR="00AB28A2">
        <w:softHyphen/>
      </w:r>
      <w:r>
        <w:t>jourd'hui un secteur essentiel de l'industrie chimique française.</w:t>
      </w:r>
    </w:p>
    <w:p w:rsidR="00827698" w:rsidRDefault="00827698"/>
    <w:p w:rsidR="00827698" w:rsidRDefault="00827698"/>
    <w:p w:rsidR="00827698" w:rsidRDefault="00607544">
      <w:pPr>
        <w:jc w:val="right"/>
      </w:pPr>
      <w:r>
        <w:t>Document publié dans le © Magazine Planton</w:t>
      </w:r>
    </w:p>
    <w:sectPr w:rsidR="00827698" w:rsidSect="004300F6">
      <w:headerReference w:type="default" r:id="rId6"/>
      <w:pgSz w:w="12240" w:h="15840"/>
      <w:pgMar w:top="2796" w:right="1800" w:bottom="1440" w:left="1800" w:header="1134" w:footer="708" w:gutter="0"/>
      <w:pgBorders w:offsetFrom="page">
        <w:top w:val="thinThickSmallGap" w:sz="24" w:space="24" w:color="7532A8" w:themeColor="accent3"/>
        <w:left w:val="thinThickSmallGap" w:sz="24" w:space="24" w:color="7532A8" w:themeColor="accent3"/>
        <w:bottom w:val="thinThickSmallGap" w:sz="24" w:space="24" w:color="7532A8" w:themeColor="accent3"/>
        <w:right w:val="thinThickSmallGap" w:sz="24" w:space="24" w:color="7532A8"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91E" w:rsidRDefault="003E291E">
      <w:r>
        <w:separator/>
      </w:r>
    </w:p>
  </w:endnote>
  <w:endnote w:type="continuationSeparator" w:id="0">
    <w:p w:rsidR="003E291E" w:rsidRDefault="003E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91E" w:rsidRDefault="003E291E">
      <w:r>
        <w:separator/>
      </w:r>
    </w:p>
  </w:footnote>
  <w:footnote w:type="continuationSeparator" w:id="0">
    <w:p w:rsidR="003E291E" w:rsidRDefault="003E2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98" w:rsidRDefault="00B10B79">
    <w:pPr>
      <w:rPr>
        <w:b/>
        <w:bCs/>
      </w:rPr>
    </w:pPr>
    <w:r>
      <w:rPr>
        <w:b/>
        <w:bCs/>
        <w:sz w:val="28"/>
      </w:rPr>
      <w:t>Centre de jardin Brodeur</w:t>
    </w:r>
  </w:p>
  <w:p w:rsidR="00827698" w:rsidRDefault="00B10B79">
    <w:r>
      <w:t xml:space="preserve">2465, rue de </w:t>
    </w:r>
    <w:smartTag w:uri="urn:schemas-microsoft-com:office:smarttags" w:element="PersonName">
      <w:smartTagPr>
        <w:attr w:name="ProductID" w:val="la Passion"/>
      </w:smartTagPr>
      <w:r>
        <w:t>la Passion</w:t>
      </w:r>
    </w:smartTag>
  </w:p>
  <w:p w:rsidR="00827698" w:rsidRDefault="00B10B79">
    <w:pPr>
      <w:pStyle w:val="En-tte"/>
      <w:pBdr>
        <w:bottom w:val="single" w:sz="18" w:space="1" w:color="auto"/>
      </w:pBdr>
    </w:pPr>
    <w:r>
      <w:t>Fleurimont (Québec)  T7I 4R5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consecutiveHyphenLimit w:val="3"/>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DA"/>
    <w:rsid w:val="001074D9"/>
    <w:rsid w:val="00140A64"/>
    <w:rsid w:val="001823E0"/>
    <w:rsid w:val="00197B61"/>
    <w:rsid w:val="00257E5F"/>
    <w:rsid w:val="00291988"/>
    <w:rsid w:val="00323955"/>
    <w:rsid w:val="003C28C9"/>
    <w:rsid w:val="003E291E"/>
    <w:rsid w:val="004300F6"/>
    <w:rsid w:val="00451229"/>
    <w:rsid w:val="00460EDA"/>
    <w:rsid w:val="004F3A31"/>
    <w:rsid w:val="0055541C"/>
    <w:rsid w:val="00563682"/>
    <w:rsid w:val="0060431C"/>
    <w:rsid w:val="00607544"/>
    <w:rsid w:val="006A055B"/>
    <w:rsid w:val="007B332C"/>
    <w:rsid w:val="00827698"/>
    <w:rsid w:val="008D40A6"/>
    <w:rsid w:val="009E18D1"/>
    <w:rsid w:val="00A13E1B"/>
    <w:rsid w:val="00AB28A2"/>
    <w:rsid w:val="00B10B79"/>
    <w:rsid w:val="00E04D43"/>
    <w:rsid w:val="00E27137"/>
    <w:rsid w:val="00EC2826"/>
    <w:rsid w:val="00ED30CD"/>
    <w:rsid w:val="00FB38EE"/>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F27D5841-417B-485D-AE9C-706FD633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4300F6"/>
    <w:pPr>
      <w:jc w:val="both"/>
    </w:pPr>
    <w:rPr>
      <w:rFonts w:ascii="Arial" w:hAnsi="Arial"/>
      <w:color w:val="236626" w:themeColor="text2"/>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23955"/>
    <w:pPr>
      <w:tabs>
        <w:tab w:val="center" w:pos="4320"/>
        <w:tab w:val="right" w:pos="8640"/>
      </w:tabs>
    </w:pPr>
  </w:style>
  <w:style w:type="paragraph" w:styleId="Pieddepage">
    <w:name w:val="footer"/>
    <w:basedOn w:val="Normal"/>
    <w:rsid w:val="00323955"/>
    <w:pPr>
      <w:tabs>
        <w:tab w:val="center" w:pos="4320"/>
        <w:tab w:val="right" w:pos="8640"/>
      </w:tabs>
    </w:pPr>
  </w:style>
  <w:style w:type="paragraph" w:styleId="Textedebulles">
    <w:name w:val="Balloon Text"/>
    <w:basedOn w:val="Normal"/>
    <w:link w:val="TextedebullesCar"/>
    <w:rsid w:val="004300F6"/>
    <w:rPr>
      <w:rFonts w:ascii="Tahoma" w:hAnsi="Tahoma" w:cs="Tahoma"/>
      <w:sz w:val="16"/>
      <w:szCs w:val="16"/>
    </w:rPr>
  </w:style>
  <w:style w:type="character" w:customStyle="1" w:styleId="TextedebullesCar">
    <w:name w:val="Texte de bulles Car"/>
    <w:basedOn w:val="Policepardfaut"/>
    <w:link w:val="Textedebulles"/>
    <w:rsid w:val="004300F6"/>
    <w:rPr>
      <w:rFonts w:ascii="Tahoma" w:hAnsi="Tahoma" w:cs="Tahoma"/>
      <w:sz w:val="16"/>
      <w:szCs w:val="16"/>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Bubbles">
      <a:dk1>
        <a:srgbClr val="0C002C"/>
      </a:dk1>
      <a:lt1>
        <a:srgbClr val="FFFFFF"/>
      </a:lt1>
      <a:dk2>
        <a:srgbClr val="236626"/>
      </a:dk2>
      <a:lt2>
        <a:srgbClr val="D7C8FE"/>
      </a:lt2>
      <a:accent1>
        <a:srgbClr val="4203E7"/>
      </a:accent1>
      <a:accent2>
        <a:srgbClr val="842F73"/>
      </a:accent2>
      <a:accent3>
        <a:srgbClr val="7532A8"/>
      </a:accent3>
      <a:accent4>
        <a:srgbClr val="F7A107"/>
      </a:accent4>
      <a:accent5>
        <a:srgbClr val="C86DCF"/>
      </a:accent5>
      <a:accent6>
        <a:srgbClr val="E6B500"/>
      </a:accent6>
      <a:hlink>
        <a:srgbClr val="FFDE66"/>
      </a:hlink>
      <a:folHlink>
        <a:srgbClr val="D490C5"/>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3261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Jocelyne</cp:lastModifiedBy>
  <cp:revision>2</cp:revision>
  <cp:lastPrinted>2011-02-23T14:10:00Z</cp:lastPrinted>
  <dcterms:created xsi:type="dcterms:W3CDTF">2016-10-13T20:00:00Z</dcterms:created>
  <dcterms:modified xsi:type="dcterms:W3CDTF">2016-10-13T20:00:00Z</dcterms:modified>
</cp:coreProperties>
</file>